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ind w:right="-142"/>
        <w:rPr>
          <w:b/>
        </w:rPr>
      </w:pPr>
      <w:r>
        <w:rPr>
          <w:b/>
        </w:rPr>
      </w:r>
    </w:p>
    <w:p>
      <w:pPr>
        <w:ind w:right="-142"/>
        <w:rPr>
          <w:b/>
        </w:rPr>
      </w:pPr>
      <w:r>
        <w:rPr>
          <w:b/>
        </w:rPr>
      </w:r>
    </w:p>
    <w:p>
      <w:pPr>
        <w:ind w:right="-142"/>
        <w:spacing/>
        <w:jc w:val="center"/>
        <w:rPr>
          <w:b/>
        </w:rPr>
      </w:pPr>
      <w:r>
        <w:rPr>
          <w:b/>
        </w:rPr>
        <w:t>EMENDA IMPOSITIVA INDIVIDUAL Nº_____/2023</w:t>
      </w:r>
    </w:p>
    <w:p>
      <w:pPr>
        <w:pStyle w:val="para2"/>
        <w:ind w:firstLine="0"/>
        <w:spacing w:line="240" w:lineRule="auto"/>
        <w:rPr>
          <w:rFonts w:ascii="Times New Roman" w:hAnsi="Times New Roman"/>
          <w:color w:val="auto"/>
          <w:szCs w:val="24"/>
          <w:u w:color="auto" w:val="none"/>
        </w:rPr>
      </w:pPr>
      <w:r>
        <w:rPr>
          <w:rFonts w:ascii="Times New Roman" w:hAnsi="Times New Roman"/>
          <w:color w:val="auto"/>
          <w:szCs w:val="24"/>
          <w:u w:color="auto" w:val="none"/>
        </w:rPr>
      </w:r>
    </w:p>
    <w:p>
      <w:pPr>
        <w:pStyle w:val="para2"/>
        <w:ind w:firstLine="0"/>
        <w:spacing w:line="240" w:lineRule="auto"/>
        <w:rPr>
          <w:rFonts w:ascii="Times New Roman" w:hAnsi="Times New Roman"/>
          <w:color w:val="auto"/>
          <w:szCs w:val="24"/>
          <w:u w:color="auto" w:val="none"/>
        </w:rPr>
      </w:pPr>
      <w:r>
        <w:rPr>
          <w:rFonts w:ascii="Times New Roman" w:hAnsi="Times New Roman"/>
          <w:color w:val="auto"/>
          <w:szCs w:val="24"/>
          <w:u w:color="auto" w:val="none"/>
        </w:rPr>
        <w:t>AO PROJETO DE LEI N° Nº 49/2023, que Estima a Receita e Fixa a Despesa do Município de Cajazeiras, para o Exercício de 2024 e dá outras providências.</w:t>
      </w:r>
    </w:p>
    <w:p>
      <w:pPr>
        <w:ind w:firstLine="1134"/>
        <w:spacing w:line="360" w:lineRule="auto"/>
      </w:pPr>
      <w:r/>
    </w:p>
    <w:p>
      <w:pPr>
        <w:ind w:left="3828"/>
        <w:spacing/>
        <w:jc w:val="both"/>
      </w:pPr>
      <w:r>
        <w:rPr>
          <w:b/>
        </w:rPr>
        <w:t>Súmula:</w:t>
      </w:r>
      <w:r>
        <w:t xml:space="preserve"> Indica a aplicação de recursos nos termos do que autoriza o art.124-A da Lei Orgânica Municipal.</w:t>
      </w:r>
    </w:p>
    <w:p>
      <w:pPr>
        <w:ind w:firstLine="1134"/>
        <w:spacing w:line="360" w:lineRule="auto"/>
        <w:jc w:val="both"/>
      </w:pPr>
      <w:r/>
    </w:p>
    <w:p>
      <w:pPr>
        <w:ind w:firstLine="1134"/>
        <w:spacing w:line="360" w:lineRule="auto"/>
        <w:jc w:val="both"/>
      </w:pPr>
      <w:r>
        <w:t>O vereador que esta subscreve, tempestivamente, no uso de suas atribuições legais, com fulcro no art. 124-A da Lei Orgânica Municipal, apresenta a Comissão de Finanças e Orçamento para que seja submetida  à apreciação do Plenário a seguinte Emenda Impositiva ao Projeto de Lei nº 49/2023.</w:t>
      </w:r>
    </w:p>
    <w:p>
      <w:pPr>
        <w:ind w:firstLine="1134"/>
        <w:spacing w:line="360" w:lineRule="auto"/>
        <w:jc w:val="both"/>
      </w:pPr>
      <w:r>
        <w:rPr>
          <w:b/>
        </w:rPr>
        <w:t>Art.1º -</w:t>
      </w:r>
      <w:r>
        <w:t xml:space="preserve"> As Emendas Individuais ao Projeto de Lei Orçamentária, serão aprovadas no limite de 1.2% (um inteiro e dois décimos por cento), da receita corrente liquida do último exercício.</w:t>
      </w:r>
    </w:p>
    <w:p>
      <w:pPr>
        <w:ind w:firstLine="1134"/>
        <w:spacing w:line="360" w:lineRule="auto"/>
        <w:jc w:val="both"/>
        <w:rPr>
          <w:b/>
        </w:rPr>
      </w:pPr>
      <w:r>
        <w:rPr>
          <w:b/>
        </w:rPr>
        <w:t>Art. 2º -</w:t>
      </w:r>
      <w:r>
        <w:t xml:space="preserve"> Considerando que a Receita Corrente Líquida no exercício financeiro de 2022 foi de </w:t>
      </w:r>
      <w:r>
        <w:rPr>
          <w:b/>
        </w:rPr>
        <w:t>R$</w:t>
      </w:r>
      <w:r>
        <w:rPr>
          <w:b/>
        </w:rPr>
        <w:t xml:space="preserve"> 188.904.855,36</w:t>
      </w:r>
      <w:r>
        <w:t xml:space="preserve">, este valor nos termos do percentual limite constante do art. 1º, perfaz o montante total de </w:t>
      </w:r>
      <w:r>
        <w:rPr>
          <w:b/>
        </w:rPr>
        <w:t>R$</w:t>
      </w:r>
      <w:r>
        <w:rPr>
          <w:b/>
        </w:rPr>
        <w:t xml:space="preserve"> 2.266.860,00</w:t>
      </w:r>
      <w:r>
        <w:t xml:space="preserve"> cabendo individualmente a cada vereador o direito de apresentar emenda impositiva no valor de </w:t>
      </w:r>
      <w:r>
        <w:rPr>
          <w:b/>
          <w:u w:color="auto" w:val="single"/>
        </w:rPr>
        <w:t xml:space="preserve">R$ </w:t>
      </w:r>
      <w:r>
        <w:rPr>
          <w:b/>
          <w:u w:color="auto" w:val="single"/>
        </w:rPr>
        <w:t>151.124,00</w:t>
      </w:r>
      <w:r>
        <w:rPr>
          <w:b/>
        </w:rPr>
      </w:r>
    </w:p>
    <w:p>
      <w:pPr>
        <w:ind w:firstLine="1134"/>
        <w:spacing w:line="360" w:lineRule="auto"/>
        <w:jc w:val="both"/>
      </w:pPr>
      <w:r>
        <w:rPr>
          <w:b/>
        </w:rPr>
        <w:t>Art. 3º -</w:t>
      </w:r>
      <w:r>
        <w:t xml:space="preserve"> Será destinado ao atendimento na área da saúde recursos financeiros na ordem de </w:t>
      </w:r>
      <w:r>
        <w:rPr>
          <w:b/>
          <w:u w:color="auto" w:val="single"/>
        </w:rPr>
        <w:t>R$ 75.562,00</w:t>
      </w:r>
      <w:r>
        <w:t xml:space="preserve"> para aquisições de bens e material de consumo, sendo 50% para na Unidade de Saúde do Distrito de Serra da Arara e 50% para na Unidade de Saúde do bairro Cristo Rei.</w:t>
      </w:r>
    </w:p>
    <w:p>
      <w:pPr>
        <w:ind w:firstLine="1134"/>
        <w:spacing w:line="360" w:lineRule="auto"/>
        <w:jc w:val="both"/>
        <w:rPr>
          <w:b/>
          <w:u w:color="auto" w:val="single"/>
        </w:rPr>
      </w:pPr>
      <w:r>
        <w:rPr>
          <w:b/>
        </w:rPr>
        <w:t>Art.4º -</w:t>
      </w:r>
      <w:r>
        <w:t xml:space="preserve"> Será destinado para compra de material esportivo para as equipes amadoras da cidade de Cajajeiras, os recursos financeiros na ordem de </w:t>
      </w:r>
      <w:r>
        <w:rPr>
          <w:b/>
          <w:u w:color="auto" w:val="single"/>
        </w:rPr>
        <w:t>R$ 75.562,00</w:t>
      </w:r>
    </w:p>
    <w:p>
      <w:pPr>
        <w:ind w:firstLine="1134"/>
        <w:spacing w:line="360" w:lineRule="auto"/>
        <w:jc w:val="both"/>
      </w:pPr>
      <w:r>
        <w:rPr>
          <w:b/>
        </w:rPr>
        <w:t xml:space="preserve">Art.5º - </w:t>
      </w:r>
      <w:r>
        <w:t>Para cobertura dos créditos autorizados nos artigos anteriores, deverão ser canceladas dotações orçamentárias de recursos ordinários livres do mesmo órgão e unidade.</w:t>
      </w:r>
    </w:p>
    <w:p>
      <w:pPr>
        <w:ind w:firstLine="1134"/>
        <w:spacing w:line="360" w:lineRule="auto"/>
        <w:jc w:val="both"/>
      </w:pPr>
      <w:r>
        <w:rPr>
          <w:b/>
        </w:rPr>
        <w:t>Art.6º -</w:t>
      </w:r>
      <w:r>
        <w:t xml:space="preserve"> Após aprovação, a presente Emenda será publicada no órgão oficial do município, para fins da sua execução orçamentária nos termos da legislação vigente.</w:t>
      </w:r>
    </w:p>
    <w:p>
      <w:pPr>
        <w:spacing/>
        <w:jc w:val="center"/>
        <w:tabs defTabSz="708">
          <w:tab w:val="left" w:pos="2175" w:leader="none"/>
        </w:tabs>
      </w:pPr>
      <w:r>
        <w:t>Sala do Plenário, 28 de novembro de 2023.</w:t>
      </w:r>
    </w:p>
    <w:p>
      <w:pPr>
        <w:spacing/>
        <w:jc w:val="center"/>
        <w:tabs defTabSz="708">
          <w:tab w:val="left" w:pos="2175" w:leader="none"/>
        </w:tabs>
      </w:pPr>
      <w:r>
        <w:t>.</w:t>
      </w:r>
    </w:p>
    <w:p>
      <w:pPr>
        <w:spacing/>
        <w:jc w:val="center"/>
        <w:tabs defTabSz="708">
          <w:tab w:val="left" w:pos="2175" w:leader="none"/>
        </w:tabs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/>
        <w:jc w:val="center"/>
        <w:tabs defTabSz="708">
          <w:tab w:val="left" w:pos="2175" w:leader="none"/>
        </w:tabs>
        <w:pBdr>
          <w:top w:val="nil" w:sz="0" w:space="3" w:color="000000" tmln="20, 20, 20, 0, 60"/>
          <w:left w:val="nil" w:sz="0" w:space="3" w:color="000000" tmln="20, 20, 20, 0, 60"/>
          <w:bottom w:val="single" w:sz="12" w:space="1" w:color="000000" tmln="30, 20, 20, 0, 20"/>
          <w:right w:val="nil" w:sz="0" w:space="3" w:color="000000" tmln="20, 20, 20, 0, 60"/>
          <w:between w:val="nil" w:sz="0" w:space="0" w:color="000000" tmln="20, 20, 20, 0, 0"/>
        </w:pBdr>
        <w:shd w:val="none"/>
      </w:pPr>
      <w:r/>
    </w:p>
    <w:p>
      <w:pPr>
        <w:spacing/>
        <w:jc w:val="center"/>
        <w:widowControl w:val="0"/>
        <w:pBdr>
          <w:top w:val="nil" w:sz="0" w:space="0" w:color="000000" tmln="20, 20, 20, 0, 0"/>
          <w:left w:val="nil" w:sz="0" w:space="0" w:color="000000" tmln="20, 20, 20, 0, 0"/>
          <w:bottom w:val="nil" w:sz="0" w:space="0" w:color="000000" tmln="20, 20, 20, 0, 0"/>
          <w:right w:val="nil" w:sz="0" w:space="0" w:color="000000" tmln="20, 20, 20, 0, 0"/>
          <w:between w:val="nil" w:sz="0" w:space="0" w:color="000000" tmln="20, 20, 20, 0, 0"/>
        </w:pBdr>
        <w:shd w:val="none"/>
        <w:rPr>
          <w:color w:val="000000"/>
          <w:kern w:val="1"/>
          <w:lang w:val="pt-br" w:eastAsia="zh-cn" w:bidi="ar-sa"/>
        </w:rPr>
      </w:pPr>
      <w:r>
        <w:rPr>
          <w:color w:val="000000"/>
          <w:kern w:val="1"/>
          <w:lang w:val="pt-br" w:eastAsia="zh-cn" w:bidi="ar-sa"/>
        </w:rPr>
        <w:t>Adjailson Bezerra Quintino</w:t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  <w:t>Vereador da Câmara Municipal de Cajazeiras</w:t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p>
      <w:pPr>
        <w:spacing/>
        <w:jc w:val="center"/>
        <w:tabs defTabSz="708">
          <w:tab w:val="left" w:pos="2175" w:leader="none"/>
        </w:tabs>
        <w:rPr>
          <w:b/>
        </w:rPr>
      </w:pPr>
      <w:r>
        <w:rPr>
          <w:b/>
        </w:rPr>
      </w:r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decimal"/>
        <w:numStart w:val="1"/>
        <w:numRestart w:val="continuous"/>
      </w:endnotePr>
      <w:headerReference w:type="default" r:id="rId7"/>
      <w:footerReference w:type="default" r:id="rId8"/>
      <w:type w:val="nextPage"/>
      <w:pgSz w:h="16838" w:w="11906"/>
      <w:pgMar w:left="1134" w:top="1134" w:right="1134" w:bottom="1134" w:header="708" w:footer="708"/>
      <w:paperSrc w:first="0" w:other="0" a="0" b="0"/>
      <w:pgNumType w:fmt="decimal"/>
      <w:tmGutter w:val="1"/>
      <w:mirrorMargins w:val="0"/>
      <w:tmSection w:h="-2">
        <w:tmHeader w:id="0" w:h="0" edge="708" text="0">
          <w:shd w:val="none"/>
        </w:tmHeader>
        <w:tmFooter w:id="0" w:h="0" edge="708" text="0">
          <w:shd w:val="none"/>
        </w:tmFooter>
      </w:tmSection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Calibri">
    <w:panose1 w:val="020F0502020204030204"/>
    <w:charset w:val="00"/>
    <w:family w:val="swiss"/>
    <w:pitch w:val="default"/>
  </w:font>
  <w:font w:name="Segoe UI">
    <w:panose1 w:val="020B0502040204020203"/>
    <w:charset w:val="00"/>
    <w:family w:val="swiss"/>
    <w:pitch w:val="default"/>
  </w:font>
  <w:font w:name="Cambria">
    <w:panose1 w:val="0204050305040603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5"/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>
                    <a:picLocks noChangeAspect="1"/>
                    <a:extLst>
                      <a:ext uri="smNativeData">
                        <sm:smNativeData xmlns:sm="smNativeData" val="SMDATA_14_q05W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3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/>
                    <a:extLst>
                      <a:ext uri="smNativeData">
                        <sm:smNativeData xmlns:sm="smNativeData" val="SMDATA_14_q05W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4" behindDoc="0" locked="0" layoutInCell="0" hidden="0" allowOverlap="1">
          <wp:simplePos x="0" y="0"/>
          <wp:positionH relativeFrom="column">
            <wp:posOffset>28575</wp:posOffset>
          </wp:positionH>
          <wp:positionV relativeFrom="paragraph">
            <wp:posOffset>10064750</wp:posOffset>
          </wp:positionV>
          <wp:extent cx="5400040" cy="419100"/>
          <wp:effectExtent l="0" t="0" r="0" b="0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>
                    <a:picLocks noChangeAspect="1"/>
                    <a:extLst>
                      <a:ext uri="smNativeData">
                        <sm:smNativeData xmlns:sm="smNativeData" val="SMDATA_14_q05W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oAAAAAAAAAAAAAAAAAAAAgAAAC0AAAAAAAAAAgAAAOo9AAA4IQAAlAIAAAAAAACbBAAA2HsAAC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00040" cy="419100"/>
                  </a:xfrm>
                  <a:prstGeom prst="rect">
                    <a:avLst/>
                  </a:prstGeom>
                  <a:noFill/>
                  <a:ln w="12700"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8245" behindDoc="1" locked="0" layoutInCell="0" hidden="0" allowOverlap="1">
          <wp:simplePos x="0" y="0"/>
          <wp:positionH relativeFrom="page">
            <wp:posOffset>9525</wp:posOffset>
          </wp:positionH>
          <wp:positionV relativeFrom="paragraph">
            <wp:posOffset>181610</wp:posOffset>
          </wp:positionV>
          <wp:extent cx="7553325" cy="425450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>
                    <a:picLocks noChangeAspect="1"/>
                    <a:extLst>
                      <a:ext uri="smNativeData">
                        <sm:smNativeData xmlns:sm="smNativeData" val="SMDATA_14_q05W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CQIAAAAAAAAAAAAAAAAAAAAAAAAA8AAAAAAAAAAgAAAB4BAAB3LgAAngIAAAAAAAAPAAAADD8AACgAAAAIAAAAAQAAAAEAAAA="/>
                      </a:ext>
                    </a:extLst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7553325" cy="4254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para4"/>
    </w:pPr>
    <w:r>
      <w:rPr>
        <w:noProof/>
      </w:rPr>
      <w:drawing>
        <wp:anchor distT="0" distB="0" distL="114300" distR="114300" simplePos="0" relativeHeight="251658241" behindDoc="1" locked="0" layoutInCell="0" hidden="0" allowOverlap="1">
          <wp:simplePos x="0" y="0"/>
          <wp:positionH relativeFrom="page">
            <wp:align>left</wp:align>
          </wp:positionH>
          <wp:positionV relativeFrom="paragraph">
            <wp:posOffset>-487680</wp:posOffset>
          </wp:positionV>
          <wp:extent cx="7581900" cy="962025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/>
                    <a:extLst>
                      <a:ext uri="smNativeData">
                        <sm:smNativeData xmlns:sm="smNativeData" val="SMDATA_14_q05WZ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AAAAAQIAAAAAAAAAAAAAABAAAAAAAAAAAAAAAAAAAAAgAAAAD9//+kLgAA6wUAAAAAAAAAAAAAxP///ygAAAAIAAAAAQAAAAEAAAA=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81900" cy="9620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08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decimal"/>
    <w:numStart w:val="1"/>
    <w:numRestart w:val="continuous"/>
  </w:endnotePr>
  <w:compat/>
  <w:compatSetting w:name="compatibilityMode" w:uri="http://schemas.microsoft.com/office/word" w:val="15"/>
  <w:shapeDefaults>
    <o:shapedefaults v:ext="edit" spidmax="3073"/>
    <o:shapelayout v:ext="edit">
      <o:rules v:ext="edit"/>
    </o:shapelayout>
  </w:shapeDefaults>
  <w:tmPrefOne w:val="17"/>
  <w:tmPrefTwo w:val="1"/>
  <w:tmFmtPref w:val="55065707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4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0"/>
  </w:tmReviewPr>
  <w:tmLastPos>
    <w:tmLastPosPage w:val="0"/>
    <w:tmLastPosSelect w:val="0"/>
    <w:tmLastPosFrameIdx w:val="0"/>
    <w:tmLastPosCaret>
      <w:tmLastPosPgfIdx w:val="23"/>
      <w:tmLastPosIdx w:val="0"/>
    </w:tmLastPosCaret>
    <w:tmLastPosAnchor>
      <w:tmLastPosPgfIdx w:val="0"/>
      <w:tmLastPosIdx w:val="0"/>
    </w:tmLastPosAnchor>
    <w:tmLastPosTblRect w:left="0" w:top="0" w:right="0" w:bottom="0"/>
  </w:tmLastPos>
  <w:tmAppRevision w:date="1700155051" w:val="982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ind w:firstLine="1134"/>
      <w:spacing w:line="360" w:lineRule="auto"/>
      <w:jc w:val="center"/>
      <w:keepNext/>
      <w:outlineLvl w:val="0"/>
    </w:pPr>
    <w:rPr>
      <w:rFonts w:ascii="Arial" w:hAnsi="Arial"/>
      <w:szCs w:val="20"/>
    </w:rPr>
  </w:style>
  <w:style w:type="paragraph" w:styleId="para2">
    <w:name w:val="Title"/>
    <w:qFormat/>
    <w:basedOn w:val="para0"/>
    <w:pPr>
      <w:ind w:firstLine="1134"/>
      <w:spacing w:line="360" w:lineRule="auto"/>
      <w:jc w:val="center"/>
    </w:pPr>
    <w:rPr>
      <w:rFonts w:ascii="Arial" w:hAnsi="Arial"/>
      <w:b/>
      <w:color w:val="000080"/>
      <w:szCs w:val="20"/>
      <w:u w:color="auto" w:val="single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5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Arial" w:hAnsi="Arial" w:eastAsia="Times New Roman" w:cs="Times New Roman"/>
      <w:sz w:val="24"/>
      <w:szCs w:val="20"/>
    </w:rPr>
  </w:style>
  <w:style w:type="character" w:styleId="char2" w:customStyle="1">
    <w:name w:val="Título Char"/>
    <w:basedOn w:val="char0"/>
    <w:rPr>
      <w:rFonts w:ascii="Arial" w:hAnsi="Arial" w:eastAsia="Times New Roman" w:cs="Times New Roman"/>
      <w:b/>
      <w:color w:val="000080"/>
      <w:sz w:val="24"/>
      <w:szCs w:val="20"/>
      <w:u w:color="auto" w:val="single"/>
    </w:rPr>
  </w:style>
  <w:style w:type="character" w:styleId="char3" w:customStyle="1">
    <w:name w:val="Texto de balão Char"/>
    <w:basedOn w:val="char0"/>
    <w:rPr>
      <w:rFonts w:ascii="Segoe UI" w:hAnsi="Segoe UI" w:eastAsia="Times New Roman" w:cs="Segoe UI"/>
      <w:sz w:val="18"/>
      <w:szCs w:val="18"/>
    </w:rPr>
  </w:style>
  <w:style w:type="character" w:styleId="char4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hAnsi="Calibri" w:eastAsia="Calibri" w:cs="Times New Roman"/>
        <w:sz w:val="22"/>
        <w:szCs w:val="22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  <w:rPr>
      <w:rFonts w:ascii="Times New Roman" w:hAnsi="Times New Roman" w:eastAsia="Times New Roman"/>
      <w:sz w:val="24"/>
      <w:szCs w:val="24"/>
    </w:rPr>
  </w:style>
  <w:style w:type="paragraph" w:styleId="para1">
    <w:name w:val="heading 1"/>
    <w:qFormat/>
    <w:basedOn w:val="para0"/>
    <w:next w:val="para0"/>
    <w:pPr>
      <w:ind w:firstLine="1134"/>
      <w:spacing w:line="360" w:lineRule="auto"/>
      <w:jc w:val="center"/>
      <w:keepNext/>
      <w:outlineLvl w:val="0"/>
    </w:pPr>
    <w:rPr>
      <w:rFonts w:ascii="Arial" w:hAnsi="Arial"/>
      <w:szCs w:val="20"/>
    </w:rPr>
  </w:style>
  <w:style w:type="paragraph" w:styleId="para2">
    <w:name w:val="Title"/>
    <w:qFormat/>
    <w:basedOn w:val="para0"/>
    <w:pPr>
      <w:ind w:firstLine="1134"/>
      <w:spacing w:line="360" w:lineRule="auto"/>
      <w:jc w:val="center"/>
    </w:pPr>
    <w:rPr>
      <w:rFonts w:ascii="Arial" w:hAnsi="Arial"/>
      <w:b/>
      <w:color w:val="000080"/>
      <w:szCs w:val="20"/>
      <w:u w:color="auto" w:val="single"/>
    </w:rPr>
  </w:style>
  <w:style w:type="paragraph" w:styleId="para3">
    <w:name w:val="Balloon Text"/>
    <w:qFormat/>
    <w:basedOn w:val="para0"/>
    <w:rPr>
      <w:rFonts w:ascii="Segoe UI" w:hAnsi="Segoe UI" w:cs="Segoe UI"/>
      <w:sz w:val="18"/>
      <w:szCs w:val="18"/>
    </w:rPr>
  </w:style>
  <w:style w:type="paragraph" w:styleId="para4">
    <w:name w:val="Header"/>
    <w:qFormat/>
    <w:basedOn w:val="para0"/>
    <w:pPr>
      <w:tabs defTabSz="708">
        <w:tab w:val="center" w:pos="4252" w:leader="none"/>
        <w:tab w:val="right" w:pos="8504" w:leader="none"/>
      </w:tabs>
    </w:pPr>
  </w:style>
  <w:style w:type="paragraph" w:styleId="para5">
    <w:name w:val="Footer"/>
    <w:qFormat/>
    <w:basedOn w:val="para0"/>
    <w:pPr>
      <w:tabs defTabSz="708">
        <w:tab w:val="center" w:pos="4252" w:leader="none"/>
        <w:tab w:val="right" w:pos="8504" w:leader="none"/>
      </w:tabs>
    </w:pPr>
  </w:style>
  <w:style w:type="character" w:styleId="char0" w:default="1">
    <w:name w:val="Default Paragraph Font"/>
  </w:style>
  <w:style w:type="character" w:styleId="char1" w:customStyle="1">
    <w:name w:val="Título 1 Char"/>
    <w:basedOn w:val="char0"/>
    <w:rPr>
      <w:rFonts w:ascii="Arial" w:hAnsi="Arial" w:eastAsia="Times New Roman" w:cs="Times New Roman"/>
      <w:sz w:val="24"/>
      <w:szCs w:val="20"/>
    </w:rPr>
  </w:style>
  <w:style w:type="character" w:styleId="char2" w:customStyle="1">
    <w:name w:val="Título Char"/>
    <w:basedOn w:val="char0"/>
    <w:rPr>
      <w:rFonts w:ascii="Arial" w:hAnsi="Arial" w:eastAsia="Times New Roman" w:cs="Times New Roman"/>
      <w:b/>
      <w:color w:val="000080"/>
      <w:sz w:val="24"/>
      <w:szCs w:val="20"/>
      <w:u w:color="auto" w:val="single"/>
    </w:rPr>
  </w:style>
  <w:style w:type="character" w:styleId="char3" w:customStyle="1">
    <w:name w:val="Texto de balão Char"/>
    <w:basedOn w:val="char0"/>
    <w:rPr>
      <w:rFonts w:ascii="Segoe UI" w:hAnsi="Segoe UI" w:eastAsia="Times New Roman" w:cs="Segoe UI"/>
      <w:sz w:val="18"/>
      <w:szCs w:val="18"/>
    </w:rPr>
  </w:style>
  <w:style w:type="character" w:styleId="char4" w:customStyle="1">
    <w:name w:val="Cabeçalho Char"/>
    <w:basedOn w:val="char0"/>
    <w:rPr>
      <w:rFonts w:ascii="Times New Roman" w:hAnsi="Times New Roman" w:eastAsia="Times New Roman" w:cs="Times New Roman"/>
      <w:sz w:val="24"/>
      <w:szCs w:val="24"/>
    </w:rPr>
  </w:style>
  <w:style w:type="character" w:styleId="char5" w:customStyle="1">
    <w:name w:val="Rodapé Char"/>
    <w:basedOn w:val="char0"/>
    <w:rPr>
      <w:rFonts w:ascii="Times New Roman" w:hAnsi="Times New Roman" w:eastAsia="Times New Roman" w:cs="Times New Roman"/>
      <w:sz w:val="24"/>
      <w:szCs w:val="24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NormalTable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 ?>
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3.png"/></Relationships>
</file>

<file path=word/_rels/header1.xml.rels><?xml version="1.0" encoding="UTF-8" standalone="yes" 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rev.982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/>
  <cp:revision>4</cp:revision>
  <cp:lastPrinted>2023-10-31T19:44:00Z</cp:lastPrinted>
  <dcterms:created xsi:type="dcterms:W3CDTF">2023-11-13T00:19:00Z</dcterms:created>
  <dcterms:modified xsi:type="dcterms:W3CDTF">2023-11-16T17:17:31Z</dcterms:modified>
</cp:coreProperties>
</file>